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A68" w:rsidRDefault="006F5A68" w:rsidP="006F5A68">
      <w:r>
        <w:t>Nei miei eventi sto consigliando a tutti i colleghi di far adottare agli amministratori la seguente delibera in modo da poter limitare/escludere la loro responsabilità verso le obbligazioni sociali imposta dal nuovo art. 2476 sesto comma e dal secondo comma dell'art. 2086, già in vigore dal 16 marzo 2019, nel caso di mancata adozione di misure protettive del patrimonio soc</w:t>
      </w:r>
      <w:r>
        <w:t>iale</w:t>
      </w:r>
      <w:r>
        <w:t>.</w:t>
      </w:r>
    </w:p>
    <w:p w:rsidR="006F5A68" w:rsidRDefault="006F5A68" w:rsidP="006F5A68"/>
    <w:p w:rsidR="006F5A68" w:rsidRDefault="006F5A68" w:rsidP="006F5A68">
      <w:r>
        <w:t xml:space="preserve">Il </w:t>
      </w:r>
      <w:proofErr w:type="spellStart"/>
      <w:r>
        <w:t>CdA</w:t>
      </w:r>
      <w:proofErr w:type="spellEnd"/>
      <w:r>
        <w:t xml:space="preserve"> preso atto delle modifiche apportate dal </w:t>
      </w:r>
      <w:proofErr w:type="spellStart"/>
      <w:r>
        <w:t>D.Lgs.</w:t>
      </w:r>
      <w:proofErr w:type="spellEnd"/>
      <w:r>
        <w:t xml:space="preserve"> 14/2019 al codice civile, ed in particolare al nuovo art. 2086 secondo comma e al nuovo art. 2476 sesto comma, che impongono all'imprenditore collettivo l'obbligo di adottare degli adeguati assetti organizzativi e delle procedure aziendali che consentano il presidio ed il monitoraggio della continuità aziendale, intesa come capacità dell'azienda di operare quotidianamente delle scelte che diano un futuro migliore; e valutato che le nuove norme prescrivono inoltre, che gli assetti organizzativi e le procedure aziendali, debbano poter intercettare gli indizi di crisi</w:t>
      </w:r>
    </w:p>
    <w:p w:rsidR="006F5A68" w:rsidRDefault="006F5A68" w:rsidP="006F5A68">
      <w:r>
        <w:t>DELIBERA</w:t>
      </w:r>
    </w:p>
    <w:p w:rsidR="006F5A68" w:rsidRDefault="006F5A68" w:rsidP="006F5A68">
      <w:r>
        <w:t xml:space="preserve">Di implementare all'interno dell'azienda dei sistemi di controllo qualitativi basati sul modello scientifico della </w:t>
      </w:r>
      <w:proofErr w:type="spellStart"/>
      <w:r>
        <w:t>Balanced</w:t>
      </w:r>
      <w:proofErr w:type="spellEnd"/>
      <w:r>
        <w:t xml:space="preserve"> </w:t>
      </w:r>
      <w:proofErr w:type="spellStart"/>
      <w:r>
        <w:t>Scorecard</w:t>
      </w:r>
      <w:proofErr w:type="spellEnd"/>
      <w:r>
        <w:t xml:space="preserve"> dei Professori </w:t>
      </w:r>
      <w:proofErr w:type="spellStart"/>
      <w:r>
        <w:t>Kaplan</w:t>
      </w:r>
      <w:proofErr w:type="spellEnd"/>
      <w:r>
        <w:t xml:space="preserve"> e Norton che risulta ad oggi essere l'unico strumento di controllo capace di misurare la permanenza in azienda della continuità aziendale.</w:t>
      </w:r>
      <w:r>
        <w:t xml:space="preserve"> </w:t>
      </w:r>
      <w:bookmarkStart w:id="0" w:name="_GoBack"/>
      <w:bookmarkEnd w:id="0"/>
      <w:r>
        <w:t xml:space="preserve">Il </w:t>
      </w:r>
      <w:proofErr w:type="spellStart"/>
      <w:r>
        <w:t>CdA</w:t>
      </w:r>
      <w:proofErr w:type="spellEnd"/>
      <w:r>
        <w:t xml:space="preserve"> ritiene con questo di aver assolto in particolare agli obblighi di protezione del patrimonio sociale imposti dal nuovo sesto comma dell'art. 2476.</w:t>
      </w:r>
    </w:p>
    <w:p w:rsidR="006F5A68" w:rsidRDefault="006F5A68" w:rsidP="006F5A68"/>
    <w:p w:rsidR="00C4719E" w:rsidRPr="006F5A68" w:rsidRDefault="006F5A68" w:rsidP="006F5A68">
      <w:r>
        <w:t xml:space="preserve">Il www.cruscottodicontrollo.it è uno strumento basato sulla </w:t>
      </w:r>
      <w:proofErr w:type="spellStart"/>
      <w:r>
        <w:t>Balanced</w:t>
      </w:r>
      <w:proofErr w:type="spellEnd"/>
      <w:r>
        <w:t xml:space="preserve"> </w:t>
      </w:r>
      <w:proofErr w:type="spellStart"/>
      <w:r>
        <w:t>Scorecard</w:t>
      </w:r>
      <w:proofErr w:type="spellEnd"/>
      <w:r>
        <w:t xml:space="preserve"> di </w:t>
      </w:r>
      <w:proofErr w:type="spellStart"/>
      <w:r>
        <w:t>kaplan</w:t>
      </w:r>
      <w:proofErr w:type="spellEnd"/>
      <w:r>
        <w:t xml:space="preserve"> e Norton ed è di per se idoneo a rispettare il 2086 secondo comma ed il nuovo 2476 sesto comma.</w:t>
      </w:r>
    </w:p>
    <w:sectPr w:rsidR="00C4719E" w:rsidRPr="006F5A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79E"/>
    <w:rsid w:val="006F5A68"/>
    <w:rsid w:val="00C4719E"/>
    <w:rsid w:val="00CF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2EDF8"/>
  <w15:chartTrackingRefBased/>
  <w15:docId w15:val="{DFE096A1-FF13-4CEC-9EA5-D5653397F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2019-12-02T11:35:00Z</dcterms:created>
  <dcterms:modified xsi:type="dcterms:W3CDTF">2019-12-02T11:35:00Z</dcterms:modified>
</cp:coreProperties>
</file>